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9017E" w14:textId="77777777" w:rsidR="00F942FC" w:rsidRPr="00AF11E4" w:rsidRDefault="00F942FC" w:rsidP="00F942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AL-FARABI KAZAKH NATIONAL UNIVERSITY</w:t>
      </w:r>
    </w:p>
    <w:p w14:paraId="443B0894" w14:textId="77777777" w:rsidR="00F942FC" w:rsidRPr="00AF11E4" w:rsidRDefault="00F942FC" w:rsidP="00F942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 xml:space="preserve">Department of International Relations </w:t>
      </w:r>
    </w:p>
    <w:p w14:paraId="27C4EC62" w14:textId="77777777" w:rsidR="00F942FC" w:rsidRPr="00AF11E4" w:rsidRDefault="00F942FC" w:rsidP="00F942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Chair of Diplomatic Translation</w:t>
      </w:r>
    </w:p>
    <w:p w14:paraId="48AD448B" w14:textId="77777777" w:rsidR="00F942FC" w:rsidRPr="00AF11E4" w:rsidRDefault="00F942FC" w:rsidP="00F942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AF11E4">
        <w:rPr>
          <w:rFonts w:ascii="Times New Roman" w:hAnsi="Times New Roman" w:cs="Times New Roman"/>
          <w:b/>
          <w:bCs/>
          <w:color w:val="000000"/>
          <w:kern w:val="0"/>
          <w:lang w:val="en-US"/>
        </w:rPr>
        <w:t>Translation business in the field of international and legal relations</w:t>
      </w:r>
    </w:p>
    <w:p w14:paraId="3A2B5346" w14:textId="77777777" w:rsidR="00F942FC" w:rsidRPr="00AF11E4" w:rsidRDefault="00F942FC" w:rsidP="00F942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AF11E4">
        <w:rPr>
          <w:rFonts w:ascii="Times New Roman" w:hAnsi="Times New Roman" w:cs="Times New Roman"/>
          <w:b/>
          <w:bCs/>
          <w:color w:val="000000"/>
          <w:kern w:val="0"/>
          <w:lang w:val="en-US"/>
        </w:rPr>
        <w:t>“Translation of Scientific and Technical Documents”</w:t>
      </w:r>
    </w:p>
    <w:p w14:paraId="2B2688E9" w14:textId="77777777" w:rsidR="00F942FC" w:rsidRPr="00AF11E4" w:rsidRDefault="00F942FC" w:rsidP="00F942FC">
      <w:pPr>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202</w:t>
      </w:r>
      <w:r>
        <w:rPr>
          <w:rFonts w:ascii="Times New Roman" w:hAnsi="Times New Roman" w:cs="Times New Roman"/>
          <w:color w:val="000000"/>
          <w:kern w:val="0"/>
          <w:lang w:val="en-US"/>
        </w:rPr>
        <w:t>5</w:t>
      </w:r>
      <w:r w:rsidRPr="00AF11E4">
        <w:rPr>
          <w:rFonts w:ascii="Times New Roman" w:hAnsi="Times New Roman" w:cs="Times New Roman"/>
          <w:color w:val="000000"/>
          <w:kern w:val="0"/>
          <w:lang w:val="en-US"/>
        </w:rPr>
        <w:t>-202</w:t>
      </w:r>
      <w:r>
        <w:rPr>
          <w:rFonts w:ascii="Times New Roman" w:hAnsi="Times New Roman" w:cs="Times New Roman"/>
          <w:color w:val="000000"/>
          <w:kern w:val="0"/>
          <w:lang w:val="en-US"/>
        </w:rPr>
        <w:t>6</w:t>
      </w:r>
      <w:r w:rsidRPr="00AF11E4">
        <w:rPr>
          <w:rFonts w:ascii="Times New Roman" w:hAnsi="Times New Roman" w:cs="Times New Roman"/>
          <w:color w:val="000000"/>
          <w:kern w:val="0"/>
          <w:lang w:val="en-US"/>
        </w:rPr>
        <w:t xml:space="preserve"> academic year, </w:t>
      </w:r>
      <w:r>
        <w:rPr>
          <w:rFonts w:ascii="Times New Roman" w:hAnsi="Times New Roman" w:cs="Times New Roman"/>
          <w:color w:val="000000"/>
          <w:kern w:val="0"/>
          <w:lang w:val="en-US"/>
        </w:rPr>
        <w:t xml:space="preserve">spring </w:t>
      </w:r>
      <w:r w:rsidRPr="00AF11E4">
        <w:rPr>
          <w:rFonts w:ascii="Times New Roman" w:hAnsi="Times New Roman" w:cs="Times New Roman"/>
          <w:color w:val="000000"/>
          <w:kern w:val="0"/>
          <w:lang w:val="en-US"/>
        </w:rPr>
        <w:t>semester</w:t>
      </w:r>
    </w:p>
    <w:p w14:paraId="43EFEF2E" w14:textId="77777777" w:rsidR="00DD2DBE" w:rsidRPr="00641871" w:rsidRDefault="00DD2DBE" w:rsidP="00DD2DBE">
      <w:pPr>
        <w:jc w:val="both"/>
        <w:rPr>
          <w:rFonts w:ascii="Times New Roman" w:hAnsi="Times New Roman" w:cs="Times New Roman"/>
          <w:color w:val="000000"/>
          <w:kern w:val="0"/>
          <w:lang w:val="en-US"/>
        </w:rPr>
      </w:pPr>
    </w:p>
    <w:p w14:paraId="66B7A0FC" w14:textId="355E80A8" w:rsidR="00DD2DBE" w:rsidRPr="00641871" w:rsidRDefault="00DD2DBE" w:rsidP="00DD2DBE">
      <w:pPr>
        <w:jc w:val="center"/>
        <w:rPr>
          <w:rFonts w:ascii="Times New Roman" w:hAnsi="Times New Roman" w:cs="Times New Roman"/>
          <w:b/>
          <w:bCs/>
          <w:color w:val="000000"/>
          <w:kern w:val="0"/>
          <w:lang w:val="en-US"/>
        </w:rPr>
      </w:pPr>
      <w:r w:rsidRPr="00641871">
        <w:rPr>
          <w:rFonts w:ascii="Times New Roman" w:hAnsi="Times New Roman" w:cs="Times New Roman"/>
          <w:b/>
          <w:bCs/>
          <w:color w:val="000000"/>
          <w:kern w:val="0"/>
          <w:lang w:val="en-US"/>
        </w:rPr>
        <w:t xml:space="preserve">Lecture </w:t>
      </w:r>
      <w:r>
        <w:rPr>
          <w:rFonts w:ascii="Times New Roman" w:hAnsi="Times New Roman" w:cs="Times New Roman"/>
          <w:b/>
          <w:bCs/>
          <w:color w:val="000000"/>
          <w:kern w:val="0"/>
          <w:lang w:val="en-US"/>
        </w:rPr>
        <w:t>10</w:t>
      </w:r>
    </w:p>
    <w:p w14:paraId="2DA7C541" w14:textId="77777777" w:rsidR="00DD2DBE" w:rsidRDefault="00DD2DBE" w:rsidP="00DD2DBE">
      <w:pPr>
        <w:rPr>
          <w:rFonts w:ascii="Times New Roman" w:hAnsi="Times New Roman" w:cs="Times New Roman"/>
          <w:b/>
          <w:lang w:val="en"/>
        </w:rPr>
      </w:pPr>
      <w:r w:rsidRPr="00641871">
        <w:rPr>
          <w:rFonts w:ascii="Times New Roman" w:hAnsi="Times New Roman" w:cs="Times New Roman"/>
          <w:b/>
          <w:bCs/>
          <w:lang w:val="en"/>
        </w:rPr>
        <w:t xml:space="preserve">Module 2: </w:t>
      </w:r>
      <w:r w:rsidRPr="00641871">
        <w:rPr>
          <w:rFonts w:ascii="Times New Roman" w:hAnsi="Times New Roman" w:cs="Times New Roman"/>
          <w:b/>
          <w:lang w:val="en-US"/>
        </w:rPr>
        <w:t xml:space="preserve">Resources for </w:t>
      </w:r>
      <w:r w:rsidRPr="00641871">
        <w:rPr>
          <w:rFonts w:ascii="Times New Roman" w:hAnsi="Times New Roman" w:cs="Times New Roman"/>
          <w:b/>
          <w:lang w:val="en"/>
        </w:rPr>
        <w:t>scientific and technical translation</w:t>
      </w:r>
    </w:p>
    <w:p w14:paraId="37CE1629" w14:textId="77777777" w:rsidR="00B30072" w:rsidRDefault="00B30072" w:rsidP="00DD2DBE">
      <w:pPr>
        <w:rPr>
          <w:rFonts w:ascii="Times New Roman" w:hAnsi="Times New Roman" w:cs="Times New Roman"/>
          <w:b/>
          <w:bCs/>
          <w:lang w:val="en-US"/>
        </w:rPr>
      </w:pPr>
      <w:r w:rsidRPr="00B30072">
        <w:rPr>
          <w:rFonts w:ascii="Times New Roman" w:hAnsi="Times New Roman" w:cs="Times New Roman"/>
          <w:b/>
          <w:bCs/>
          <w:lang w:val="en-US"/>
        </w:rPr>
        <w:t xml:space="preserve">Patents and their translation </w:t>
      </w:r>
    </w:p>
    <w:p w14:paraId="25C2C627" w14:textId="339A0C13"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Community translation plays a crucial role in healthcare settings, ensuring that language barriers do not hinder access to medical services. As populations become increasingly diverse, the demand for effective communication in healthcare rises, making community translation essential for patient care and health equity.</w:t>
      </w:r>
    </w:p>
    <w:p w14:paraId="551D3BAD" w14:textId="3493D792"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Community Translation: Refers to translation done by community members or bilingual individuals, often in informal settings, to help facilitate communication between healthcare providers and patients who speak different languages.</w:t>
      </w:r>
    </w:p>
    <w:p w14:paraId="5D8734C9" w14:textId="5A995FA9"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Forms of Community Translation: Includes both verbal interpretation (during consultations) and written translation (health materials, consent forms).</w:t>
      </w:r>
    </w:p>
    <w:p w14:paraId="6AA3AD5F" w14:textId="48F7BFAB"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Importance in Healthcare</w:t>
      </w:r>
    </w:p>
    <w:p w14:paraId="20C6DAF6" w14:textId="7560A1B1"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1. Improved Patient Outcomes</w:t>
      </w:r>
    </w:p>
    <w:p w14:paraId="07CAC612" w14:textId="77777777"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 Effective communication leads to better understanding of medical advice, treatment adherence, and overall health literacy.</w:t>
      </w:r>
    </w:p>
    <w:p w14:paraId="091D4495" w14:textId="77777777"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 Reduces the likelihood of medical errors that can arise from misunderstandings.</w:t>
      </w:r>
    </w:p>
    <w:p w14:paraId="2B35428A" w14:textId="63B2DE9A"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2. Culturally Competent Care</w:t>
      </w:r>
    </w:p>
    <w:p w14:paraId="354675E9" w14:textId="77777777"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 Community translators bring cultural insights that enhance trust and rapport between healthcare providers and patients.</w:t>
      </w:r>
    </w:p>
    <w:p w14:paraId="6B2633F3" w14:textId="77777777"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 Helps providers understand cultural contexts that influence health beliefs and practices.</w:t>
      </w:r>
    </w:p>
    <w:p w14:paraId="2F54DCD2" w14:textId="67C2AC4B"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3. Legal and Ethical Obligations</w:t>
      </w:r>
    </w:p>
    <w:p w14:paraId="65A82793" w14:textId="77777777"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 Compliance with regulations like Title VI of the Civil Rights Act, which mandates access to language services in federally funded programs.</w:t>
      </w:r>
    </w:p>
    <w:p w14:paraId="7F031095" w14:textId="77777777"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 Ethical responsibility to ensure informed consent and equitable care for all patients.</w:t>
      </w:r>
    </w:p>
    <w:p w14:paraId="2378ED37" w14:textId="3258B1E2"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lastRenderedPageBreak/>
        <w:t>Challenges</w:t>
      </w:r>
    </w:p>
    <w:p w14:paraId="02EF0AB9" w14:textId="7FCC0263"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1. Quality and Accuracy</w:t>
      </w:r>
    </w:p>
    <w:p w14:paraId="277AFB0E" w14:textId="77777777"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 Community translators may lack formal training, leading to potential inaccuracies in medical terminology.</w:t>
      </w:r>
    </w:p>
    <w:p w14:paraId="33FE0322" w14:textId="77777777"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 Risk of miscommunication, especially in critical healthcare discussions.</w:t>
      </w:r>
    </w:p>
    <w:p w14:paraId="30A2A031" w14:textId="670EF7CF"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2. Resource Constraints</w:t>
      </w:r>
    </w:p>
    <w:p w14:paraId="69E84653" w14:textId="77777777"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 Limited budgets in many healthcare institutions can restrict access to professional translation services.</w:t>
      </w:r>
    </w:p>
    <w:p w14:paraId="0EDEC5C8" w14:textId="77777777"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 Availability of community translators may vary, especially in underserved areas.</w:t>
      </w:r>
    </w:p>
    <w:p w14:paraId="6FA7A52F" w14:textId="3D6CC0B8"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3. Emotional and Psychological Factors</w:t>
      </w:r>
    </w:p>
    <w:p w14:paraId="0D78E8E0" w14:textId="77777777"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 Sensitive topics in healthcare can complicate translations, and community translators may face discomfort discussing personal issues.</w:t>
      </w:r>
    </w:p>
    <w:p w14:paraId="728A82F5" w14:textId="77777777"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 Patients might feel hesitant to share personal health details with someone from their community.</w:t>
      </w:r>
    </w:p>
    <w:p w14:paraId="0AF17C79" w14:textId="102A268B"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Best Practices for Implementation</w:t>
      </w:r>
    </w:p>
    <w:p w14:paraId="6F6DF5F7" w14:textId="13B42265"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1. Training and Education</w:t>
      </w:r>
    </w:p>
    <w:p w14:paraId="6881F33F" w14:textId="77777777"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 Providing training for community translators on medical terminology and cultural sensitivity.</w:t>
      </w:r>
    </w:p>
    <w:p w14:paraId="5C5DB517" w14:textId="77777777"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 Creating resources and guidelines to assist translators in navigating complex healthcare conversations.</w:t>
      </w:r>
    </w:p>
    <w:p w14:paraId="1D7B864F" w14:textId="6A6868B0"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2. Collaboration with Healthcare Professionals</w:t>
      </w:r>
    </w:p>
    <w:p w14:paraId="26DC43F1" w14:textId="77777777"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 Encourage partnerships between healthcare providers and community translators to ensure clarity and effectiveness in communication.</w:t>
      </w:r>
    </w:p>
    <w:p w14:paraId="6B2733B7" w14:textId="77777777"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 Regular updates on medical protocols and terminology to keep translators informed.</w:t>
      </w:r>
    </w:p>
    <w:p w14:paraId="1341AC51" w14:textId="04AA8089"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3. Technology Utilization</w:t>
      </w:r>
    </w:p>
    <w:p w14:paraId="597C5B5E" w14:textId="77777777"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 Using mobile apps and translation software to support community translators.</w:t>
      </w:r>
    </w:p>
    <w:p w14:paraId="56EF8115" w14:textId="77777777"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 Implementing telehealth solutions for real-time translation services.</w:t>
      </w:r>
    </w:p>
    <w:p w14:paraId="5373B906" w14:textId="25EEB84A"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4. Feedback Mechanisms</w:t>
      </w:r>
    </w:p>
    <w:p w14:paraId="198DFF10" w14:textId="77777777"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 Establishing systems for patients to give feedback on translation quality.</w:t>
      </w:r>
    </w:p>
    <w:p w14:paraId="777EC128" w14:textId="77777777"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 Utilizing feedback to enhance translation practices and address any gaps.</w:t>
      </w:r>
    </w:p>
    <w:p w14:paraId="266FE7F2" w14:textId="5220B936"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lastRenderedPageBreak/>
        <w:t>Case Studies and Success Stories</w:t>
      </w:r>
    </w:p>
    <w:p w14:paraId="67EAE5FC" w14:textId="7F67D53D"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Examples of Effective Programs</w:t>
      </w:r>
    </w:p>
    <w:p w14:paraId="3985EAA2" w14:textId="77777777"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 Highlight specific healthcare institutions that have successfully integrated community translation, showcasing positive impacts on patient engagement and health outcomes.</w:t>
      </w:r>
    </w:p>
    <w:p w14:paraId="61872CE1" w14:textId="77777777"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 Discuss initiatives that involve community input, leading to tailored health materials that resonate with local populations.</w:t>
      </w:r>
    </w:p>
    <w:p w14:paraId="7558CCA1" w14:textId="552B8AA4"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Conclusion</w:t>
      </w:r>
    </w:p>
    <w:p w14:paraId="6AAF4262" w14:textId="77777777" w:rsidR="00DD2DBE" w:rsidRPr="00DD2DBE" w:rsidRDefault="00DD2DBE" w:rsidP="00DD2DBE">
      <w:pPr>
        <w:rPr>
          <w:rFonts w:ascii="Times New Roman" w:hAnsi="Times New Roman" w:cs="Times New Roman"/>
          <w:bCs/>
          <w:lang w:val="en"/>
        </w:rPr>
      </w:pPr>
      <w:r w:rsidRPr="00DD2DBE">
        <w:rPr>
          <w:rFonts w:ascii="Times New Roman" w:hAnsi="Times New Roman" w:cs="Times New Roman"/>
          <w:bCs/>
          <w:lang w:val="en"/>
        </w:rPr>
        <w:t>Community translation is a vital component of healthcare institutions, ensuring effective communication and equitable access to medical services. By investing in training, fostering collaboration, and leveraging technology, healthcare providers can significantly improve the quality of care for diverse patient populations. As we move forward, prioritizing community translation will be essential in creating an inclusive healthcare environment.</w:t>
      </w:r>
    </w:p>
    <w:p w14:paraId="6AAA44D6" w14:textId="77777777" w:rsidR="00005911" w:rsidRPr="00DD2DBE" w:rsidRDefault="00005911">
      <w:pPr>
        <w:rPr>
          <w:lang w:val="en"/>
        </w:rPr>
      </w:pPr>
    </w:p>
    <w:sectPr w:rsidR="00005911" w:rsidRPr="00DD2DB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911"/>
    <w:rsid w:val="00005911"/>
    <w:rsid w:val="00884C4D"/>
    <w:rsid w:val="00A41464"/>
    <w:rsid w:val="00B30072"/>
    <w:rsid w:val="00DD2DBE"/>
    <w:rsid w:val="00F3183E"/>
    <w:rsid w:val="00F942FC"/>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5FDEB481"/>
  <w15:chartTrackingRefBased/>
  <w15:docId w15:val="{5F91E19C-CF21-1142-BB1F-574A6C6C2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DBE"/>
  </w:style>
  <w:style w:type="paragraph" w:styleId="Heading1">
    <w:name w:val="heading 1"/>
    <w:basedOn w:val="Normal"/>
    <w:next w:val="Normal"/>
    <w:link w:val="Heading1Char"/>
    <w:uiPriority w:val="9"/>
    <w:qFormat/>
    <w:rsid w:val="000059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59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59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59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59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59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59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59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59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9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59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59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59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59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59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59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59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5911"/>
    <w:rPr>
      <w:rFonts w:eastAsiaTheme="majorEastAsia" w:cstheme="majorBidi"/>
      <w:color w:val="272727" w:themeColor="text1" w:themeTint="D8"/>
    </w:rPr>
  </w:style>
  <w:style w:type="paragraph" w:styleId="Title">
    <w:name w:val="Title"/>
    <w:basedOn w:val="Normal"/>
    <w:next w:val="Normal"/>
    <w:link w:val="TitleChar"/>
    <w:uiPriority w:val="10"/>
    <w:qFormat/>
    <w:rsid w:val="000059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59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59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59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5911"/>
    <w:pPr>
      <w:spacing w:before="160"/>
      <w:jc w:val="center"/>
    </w:pPr>
    <w:rPr>
      <w:i/>
      <w:iCs/>
      <w:color w:val="404040" w:themeColor="text1" w:themeTint="BF"/>
    </w:rPr>
  </w:style>
  <w:style w:type="character" w:customStyle="1" w:styleId="QuoteChar">
    <w:name w:val="Quote Char"/>
    <w:basedOn w:val="DefaultParagraphFont"/>
    <w:link w:val="Quote"/>
    <w:uiPriority w:val="29"/>
    <w:rsid w:val="00005911"/>
    <w:rPr>
      <w:i/>
      <w:iCs/>
      <w:color w:val="404040" w:themeColor="text1" w:themeTint="BF"/>
    </w:rPr>
  </w:style>
  <w:style w:type="paragraph" w:styleId="ListParagraph">
    <w:name w:val="List Paragraph"/>
    <w:basedOn w:val="Normal"/>
    <w:uiPriority w:val="34"/>
    <w:qFormat/>
    <w:rsid w:val="00005911"/>
    <w:pPr>
      <w:ind w:left="720"/>
      <w:contextualSpacing/>
    </w:pPr>
  </w:style>
  <w:style w:type="character" w:styleId="IntenseEmphasis">
    <w:name w:val="Intense Emphasis"/>
    <w:basedOn w:val="DefaultParagraphFont"/>
    <w:uiPriority w:val="21"/>
    <w:qFormat/>
    <w:rsid w:val="00005911"/>
    <w:rPr>
      <w:i/>
      <w:iCs/>
      <w:color w:val="0F4761" w:themeColor="accent1" w:themeShade="BF"/>
    </w:rPr>
  </w:style>
  <w:style w:type="paragraph" w:styleId="IntenseQuote">
    <w:name w:val="Intense Quote"/>
    <w:basedOn w:val="Normal"/>
    <w:next w:val="Normal"/>
    <w:link w:val="IntenseQuoteChar"/>
    <w:uiPriority w:val="30"/>
    <w:qFormat/>
    <w:rsid w:val="000059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5911"/>
    <w:rPr>
      <w:i/>
      <w:iCs/>
      <w:color w:val="0F4761" w:themeColor="accent1" w:themeShade="BF"/>
    </w:rPr>
  </w:style>
  <w:style w:type="character" w:styleId="IntenseReference">
    <w:name w:val="Intense Reference"/>
    <w:basedOn w:val="DefaultParagraphFont"/>
    <w:uiPriority w:val="32"/>
    <w:qFormat/>
    <w:rsid w:val="000059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635</Words>
  <Characters>3620</Characters>
  <Application>Microsoft Office Word</Application>
  <DocSecurity>0</DocSecurity>
  <Lines>30</Lines>
  <Paragraphs>8</Paragraphs>
  <ScaleCrop>false</ScaleCrop>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4</cp:revision>
  <dcterms:created xsi:type="dcterms:W3CDTF">2024-09-26T11:07:00Z</dcterms:created>
  <dcterms:modified xsi:type="dcterms:W3CDTF">2026-01-20T12:46:00Z</dcterms:modified>
</cp:coreProperties>
</file>